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D" w:rsidRPr="00E418BD" w:rsidRDefault="002F105D" w:rsidP="002F105D">
      <w:pPr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E418BD">
        <w:rPr>
          <w:rFonts w:ascii="Times New Roman" w:hAnsi="Times New Roman" w:cs="Times New Roman"/>
          <w:b/>
          <w:i/>
          <w:u w:val="single"/>
          <w:lang w:val="uk-UA"/>
        </w:rPr>
        <w:t>Додаток до Програми</w:t>
      </w:r>
    </w:p>
    <w:p w:rsidR="002F105D" w:rsidRPr="002F105D" w:rsidRDefault="002F105D" w:rsidP="002F10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05D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 та заходи Програми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54"/>
        <w:gridCol w:w="2150"/>
        <w:gridCol w:w="61"/>
        <w:gridCol w:w="2097"/>
        <w:gridCol w:w="2156"/>
        <w:gridCol w:w="2130"/>
        <w:gridCol w:w="21"/>
        <w:gridCol w:w="687"/>
        <w:gridCol w:w="709"/>
        <w:gridCol w:w="705"/>
        <w:gridCol w:w="51"/>
        <w:gridCol w:w="2153"/>
      </w:tblGrid>
      <w:tr w:rsidR="00C12F0E" w:rsidTr="002F105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46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іоритетні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50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заходів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Строк </w:t>
            </w:r>
            <w:proofErr w:type="spellStart"/>
            <w:r>
              <w:rPr>
                <w:sz w:val="20"/>
                <w:szCs w:val="20"/>
              </w:rPr>
              <w:t>виконан-ня</w:t>
            </w:r>
            <w:proofErr w:type="spellEnd"/>
            <w:r>
              <w:rPr>
                <w:sz w:val="20"/>
                <w:szCs w:val="20"/>
              </w:rPr>
              <w:t xml:space="preserve"> заходу </w:t>
            </w:r>
          </w:p>
        </w:tc>
        <w:tc>
          <w:tcPr>
            <w:tcW w:w="2156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Виконавці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Джерела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gridSpan w:val="4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Орієнтовні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), тис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ривень</w:t>
            </w:r>
            <w:proofErr w:type="spellEnd"/>
            <w:r>
              <w:rPr>
                <w:sz w:val="20"/>
                <w:szCs w:val="20"/>
              </w:rPr>
              <w:t xml:space="preserve">, у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53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Очікуваний</w:t>
            </w:r>
            <w:proofErr w:type="spellEnd"/>
            <w:r>
              <w:rPr>
                <w:sz w:val="20"/>
                <w:szCs w:val="20"/>
              </w:rPr>
              <w:t xml:space="preserve"> результат </w:t>
            </w:r>
          </w:p>
        </w:tc>
      </w:tr>
      <w:tr w:rsidR="00314703" w:rsidTr="002F105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92" w:type="dxa"/>
            <w:vMerge w:val="restart"/>
          </w:tcPr>
          <w:p w:rsidR="00314703" w:rsidRDefault="00314703" w:rsidP="00E418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5" w:type="dxa"/>
            <w:gridSpan w:val="3"/>
            <w:vMerge w:val="restart"/>
          </w:tcPr>
          <w:p w:rsidR="00314703" w:rsidRDefault="00314703" w:rsidP="00E418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97" w:type="dxa"/>
            <w:vMerge w:val="restart"/>
          </w:tcPr>
          <w:p w:rsidR="00314703" w:rsidRDefault="00314703" w:rsidP="00E418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56" w:type="dxa"/>
            <w:vMerge w:val="restart"/>
          </w:tcPr>
          <w:p w:rsidR="00314703" w:rsidRDefault="00314703" w:rsidP="00E418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30" w:type="dxa"/>
            <w:vMerge w:val="restart"/>
          </w:tcPr>
          <w:p w:rsidR="00314703" w:rsidRDefault="00314703" w:rsidP="00E418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gridSpan w:val="2"/>
          </w:tcPr>
          <w:p w:rsidR="00314703" w:rsidRPr="00314703" w:rsidRDefault="00314703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314703" w:rsidRPr="00314703" w:rsidRDefault="00314703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5" w:type="dxa"/>
          </w:tcPr>
          <w:p w:rsidR="00314703" w:rsidRPr="00314703" w:rsidRDefault="00314703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2204" w:type="dxa"/>
            <w:gridSpan w:val="2"/>
            <w:vMerge w:val="restart"/>
          </w:tcPr>
          <w:p w:rsidR="00314703" w:rsidRDefault="00314703" w:rsidP="00E418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</w:tr>
      <w:tr w:rsidR="00314703" w:rsidTr="002F105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92" w:type="dxa"/>
            <w:vMerge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vMerge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5" w:type="dxa"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04" w:type="dxa"/>
            <w:gridSpan w:val="2"/>
            <w:vMerge/>
          </w:tcPr>
          <w:p w:rsidR="00314703" w:rsidRDefault="00314703">
            <w:pPr>
              <w:pStyle w:val="Default"/>
              <w:rPr>
                <w:sz w:val="20"/>
                <w:szCs w:val="20"/>
              </w:rPr>
            </w:pPr>
          </w:p>
        </w:tc>
      </w:tr>
      <w:tr w:rsidR="00C12F0E" w:rsidTr="002F105D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2092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роз’яснювальних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заходів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реалізації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законодавства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охопленням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широкої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аудиторії</w:t>
            </w:r>
            <w:proofErr w:type="spellEnd"/>
            <w:r>
              <w:rPr>
                <w:sz w:val="20"/>
                <w:szCs w:val="20"/>
              </w:rPr>
              <w:t xml:space="preserve"> як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 xml:space="preserve">, так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Випуск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друкованої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актуальних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застосування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</w:t>
            </w:r>
            <w:proofErr w:type="gramEnd"/>
            <w:r>
              <w:rPr>
                <w:sz w:val="20"/>
                <w:szCs w:val="20"/>
              </w:rPr>
              <w:t>іалів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обладнання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семінарів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конференцій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нарад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практикумів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круглих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роки </w:t>
            </w:r>
          </w:p>
        </w:tc>
        <w:tc>
          <w:tcPr>
            <w:tcW w:w="2156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Структурні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ідрозділи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райдержадміністрації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територіальні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підрозділи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709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705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2204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ідрозділів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райдержадміністрації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територіальних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підрозділів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аналітичними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інформаційними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звітними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іншими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необхідними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аналізу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роз’яснення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економічного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</w:p>
        </w:tc>
      </w:tr>
      <w:tr w:rsidR="00C12F0E" w:rsidTr="002F105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092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Створення</w:t>
            </w:r>
            <w:proofErr w:type="spellEnd"/>
            <w:r>
              <w:rPr>
                <w:sz w:val="20"/>
                <w:szCs w:val="20"/>
              </w:rPr>
              <w:t xml:space="preserve"> баз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єдиного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комунікаційного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середовища</w:t>
            </w:r>
            <w:proofErr w:type="spellEnd"/>
            <w:r>
              <w:rPr>
                <w:sz w:val="20"/>
                <w:szCs w:val="20"/>
              </w:rPr>
              <w:t xml:space="preserve">, яке </w:t>
            </w:r>
            <w:proofErr w:type="spellStart"/>
            <w:r>
              <w:rPr>
                <w:sz w:val="20"/>
                <w:szCs w:val="20"/>
              </w:rPr>
              <w:t>об’єднає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високошвидкісні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локальні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мережі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різного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рівня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метою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оперативного </w:t>
            </w:r>
            <w:proofErr w:type="spellStart"/>
            <w:r>
              <w:rPr>
                <w:sz w:val="20"/>
                <w:szCs w:val="20"/>
              </w:rPr>
              <w:t>дієвого</w:t>
            </w:r>
            <w:proofErr w:type="spellEnd"/>
            <w:r>
              <w:rPr>
                <w:sz w:val="20"/>
                <w:szCs w:val="20"/>
              </w:rPr>
              <w:t xml:space="preserve"> контролю за </w:t>
            </w:r>
            <w:proofErr w:type="spellStart"/>
            <w:r>
              <w:rPr>
                <w:sz w:val="20"/>
                <w:szCs w:val="20"/>
              </w:rPr>
              <w:t>всіма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напрямами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утримання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організаційно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витрачання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соціально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важливі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цілі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5" w:type="dxa"/>
            <w:gridSpan w:val="3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Виготовлення</w:t>
            </w:r>
            <w:proofErr w:type="spellEnd"/>
            <w:r>
              <w:rPr>
                <w:sz w:val="20"/>
                <w:szCs w:val="20"/>
              </w:rPr>
              <w:t xml:space="preserve"> WEB -</w:t>
            </w:r>
            <w:proofErr w:type="spellStart"/>
            <w:r>
              <w:rPr>
                <w:sz w:val="20"/>
                <w:szCs w:val="20"/>
              </w:rPr>
              <w:t>cайту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створення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високошвидкісних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каналів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телекомунікаційні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публічна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експлуатаційно-технічне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апаратури</w:t>
            </w:r>
            <w:proofErr w:type="spellEnd"/>
            <w:r>
              <w:rPr>
                <w:sz w:val="20"/>
                <w:szCs w:val="20"/>
              </w:rPr>
              <w:t xml:space="preserve"> ЦО,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поточний</w:t>
            </w:r>
            <w:proofErr w:type="spellEnd"/>
            <w:r>
              <w:rPr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sz w:val="20"/>
                <w:szCs w:val="20"/>
              </w:rPr>
              <w:t>оргтехніки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становлення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звукової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сигналізації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режимно-секретного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органу,встановлення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2F0E" w:rsidRDefault="00C12F0E" w:rsidP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технічний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автоматичної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комп’ютера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класу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12F0E" w:rsidRDefault="00C12F0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2019-2021 роки </w:t>
            </w:r>
          </w:p>
        </w:tc>
        <w:tc>
          <w:tcPr>
            <w:tcW w:w="2156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-//- </w:t>
            </w:r>
          </w:p>
        </w:tc>
        <w:tc>
          <w:tcPr>
            <w:tcW w:w="2130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709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705" w:type="dxa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2204" w:type="dxa"/>
            <w:gridSpan w:val="2"/>
          </w:tcPr>
          <w:p w:rsidR="00C12F0E" w:rsidRDefault="00C1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систематичного </w:t>
            </w:r>
            <w:proofErr w:type="spellStart"/>
            <w:r>
              <w:rPr>
                <w:sz w:val="20"/>
                <w:szCs w:val="20"/>
              </w:rPr>
              <w:t>обміну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інформацією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ідрозділами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райдержадміністрації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територіальними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підрозділами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органами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F105D" w:rsidTr="002F105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092" w:type="dxa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Інформування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громадськості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F105D" w:rsidRDefault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Випуск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тематичних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сторінок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висвітлення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друкованих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електронних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офіційному</w:t>
            </w:r>
            <w:proofErr w:type="spellEnd"/>
            <w:r>
              <w:rPr>
                <w:sz w:val="20"/>
                <w:szCs w:val="20"/>
              </w:rPr>
              <w:t xml:space="preserve"> WEB -</w:t>
            </w:r>
            <w:proofErr w:type="spellStart"/>
            <w:r>
              <w:rPr>
                <w:sz w:val="20"/>
                <w:szCs w:val="20"/>
              </w:rPr>
              <w:t>сайті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роз’ясненням</w:t>
            </w:r>
            <w:proofErr w:type="spellEnd"/>
            <w:r>
              <w:rPr>
                <w:sz w:val="20"/>
                <w:szCs w:val="20"/>
              </w:rPr>
              <w:t xml:space="preserve"> норм </w:t>
            </w:r>
            <w:proofErr w:type="spellStart"/>
            <w:r>
              <w:rPr>
                <w:sz w:val="20"/>
                <w:szCs w:val="20"/>
              </w:rPr>
              <w:t>законодавства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роки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F105D" w:rsidRDefault="002F10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2130" w:type="dxa"/>
          </w:tcPr>
          <w:p w:rsidR="002F105D" w:rsidRDefault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2F105D" w:rsidRPr="002F105D" w:rsidRDefault="002F105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2F105D" w:rsidRPr="002F105D" w:rsidRDefault="002F105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705" w:type="dxa"/>
          </w:tcPr>
          <w:p w:rsidR="002F105D" w:rsidRPr="002F105D" w:rsidRDefault="002F105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2204" w:type="dxa"/>
            <w:gridSpan w:val="2"/>
          </w:tcPr>
          <w:p w:rsidR="002F105D" w:rsidRDefault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Інформування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жителі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району</w:t>
            </w:r>
            <w:proofErr w:type="gram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діяльність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F105D" w:rsidTr="002F105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092" w:type="dxa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Створення</w:t>
            </w:r>
            <w:proofErr w:type="spellEnd"/>
            <w:r>
              <w:rPr>
                <w:sz w:val="20"/>
                <w:szCs w:val="20"/>
              </w:rPr>
              <w:t xml:space="preserve"> умов для </w:t>
            </w:r>
            <w:proofErr w:type="spellStart"/>
            <w:r>
              <w:rPr>
                <w:sz w:val="20"/>
                <w:szCs w:val="20"/>
              </w:rPr>
              <w:t>ефективної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налагодження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партнерських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органами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 xml:space="preserve"> та за кордоном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ремонтних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робіт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приміщеннях</w:t>
            </w:r>
            <w:proofErr w:type="spellEnd"/>
            <w:r>
              <w:rPr>
                <w:sz w:val="20"/>
                <w:szCs w:val="20"/>
              </w:rPr>
              <w:t xml:space="preserve"> РДА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обмін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делегаціями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тематичні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поїздки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семінарів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роки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F105D" w:rsidRDefault="002F10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2130" w:type="dxa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2F105D" w:rsidRPr="002F105D" w:rsidRDefault="002F105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709" w:type="dxa"/>
          </w:tcPr>
          <w:p w:rsidR="002F105D" w:rsidRPr="002F105D" w:rsidRDefault="002F105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705" w:type="dxa"/>
          </w:tcPr>
          <w:p w:rsidR="002F105D" w:rsidRPr="002F105D" w:rsidRDefault="002F105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2204" w:type="dxa"/>
            <w:gridSpan w:val="2"/>
          </w:tcPr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Ефективна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професійна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державних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службовців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поширення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європейського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досвіду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gramEnd"/>
            <w:r>
              <w:rPr>
                <w:sz w:val="20"/>
                <w:szCs w:val="20"/>
              </w:rPr>
              <w:t>ійсненні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делегованих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>
            <w:pPr>
              <w:pStyle w:val="Default"/>
              <w:rPr>
                <w:sz w:val="20"/>
                <w:szCs w:val="20"/>
              </w:rPr>
            </w:pPr>
          </w:p>
        </w:tc>
      </w:tr>
      <w:tr w:rsidR="002F105D" w:rsidTr="002F105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092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якісного</w:t>
            </w:r>
            <w:proofErr w:type="spellEnd"/>
            <w:r>
              <w:rPr>
                <w:sz w:val="20"/>
                <w:szCs w:val="20"/>
              </w:rPr>
              <w:t xml:space="preserve"> доступу до </w:t>
            </w:r>
            <w:proofErr w:type="spellStart"/>
            <w:r>
              <w:rPr>
                <w:sz w:val="20"/>
                <w:szCs w:val="20"/>
              </w:rPr>
              <w:t>мережі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Створення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постійного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швидкісного</w:t>
            </w:r>
            <w:proofErr w:type="spellEnd"/>
            <w:r>
              <w:rPr>
                <w:sz w:val="20"/>
                <w:szCs w:val="20"/>
              </w:rPr>
              <w:t xml:space="preserve"> доступу до </w:t>
            </w:r>
            <w:proofErr w:type="spellStart"/>
            <w:r>
              <w:rPr>
                <w:sz w:val="20"/>
                <w:szCs w:val="20"/>
              </w:rPr>
              <w:t>мережі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роки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F105D" w:rsidRDefault="00F439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2130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705" w:type="dxa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2204" w:type="dxa"/>
            <w:gridSpan w:val="2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конструктивної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співпраці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місцевими</w:t>
            </w:r>
            <w:proofErr w:type="spellEnd"/>
            <w:r>
              <w:rPr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  <w:r>
              <w:rPr>
                <w:sz w:val="20"/>
                <w:szCs w:val="20"/>
              </w:rPr>
              <w:t xml:space="preserve"> та органами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самоврядування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місцевими</w:t>
            </w:r>
            <w:proofErr w:type="spellEnd"/>
            <w:r>
              <w:rPr>
                <w:sz w:val="20"/>
                <w:szCs w:val="20"/>
              </w:rPr>
              <w:t xml:space="preserve"> громадами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</w:tr>
      <w:tr w:rsidR="002F105D" w:rsidRPr="00F4392E" w:rsidTr="002F105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092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обговорення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актуальних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району на </w:t>
            </w:r>
            <w:proofErr w:type="spellStart"/>
            <w:r>
              <w:rPr>
                <w:sz w:val="20"/>
                <w:szCs w:val="20"/>
              </w:rPr>
              <w:t>форумі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участю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фахівців</w:t>
            </w:r>
            <w:proofErr w:type="spellEnd"/>
            <w:r w:rsidR="00E418BD">
              <w:rPr>
                <w:sz w:val="20"/>
                <w:szCs w:val="20"/>
                <w:lang w:val="uk-UA"/>
              </w:rPr>
              <w:t xml:space="preserve">, забезпечення </w:t>
            </w:r>
            <w:proofErr w:type="spellStart"/>
            <w:r w:rsidR="00E418BD">
              <w:rPr>
                <w:sz w:val="20"/>
                <w:szCs w:val="20"/>
                <w:lang w:val="uk-UA"/>
              </w:rPr>
              <w:t>компютерно-технологічної</w:t>
            </w:r>
            <w:proofErr w:type="spellEnd"/>
            <w:r w:rsidR="00E418BD">
              <w:rPr>
                <w:sz w:val="20"/>
                <w:szCs w:val="20"/>
                <w:lang w:val="uk-UA"/>
              </w:rPr>
              <w:t xml:space="preserve">, ефективної матеріально-технічної і фінансової бази структурних підрозділів, супровід програм розвитку, матеріальна підтримка працівників місцевих органів виконавчої влади </w:t>
            </w:r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F4392E" w:rsidRPr="00C36F32" w:rsidRDefault="00E418BD" w:rsidP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Матеріально-технічне та фінансове забезпечення заходів</w:t>
            </w:r>
            <w:r w:rsidR="00F4392E">
              <w:rPr>
                <w:sz w:val="20"/>
                <w:szCs w:val="20"/>
              </w:rPr>
              <w:t xml:space="preserve"> (</w:t>
            </w:r>
            <w:proofErr w:type="spellStart"/>
            <w:r w:rsidR="00F4392E">
              <w:rPr>
                <w:sz w:val="20"/>
                <w:szCs w:val="20"/>
              </w:rPr>
              <w:t>транспортні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послуги</w:t>
            </w:r>
            <w:proofErr w:type="spellEnd"/>
            <w:r w:rsidR="00F4392E">
              <w:rPr>
                <w:sz w:val="20"/>
                <w:szCs w:val="20"/>
              </w:rPr>
              <w:t xml:space="preserve">, </w:t>
            </w:r>
            <w:proofErr w:type="spellStart"/>
            <w:r w:rsidR="00F4392E">
              <w:rPr>
                <w:sz w:val="20"/>
                <w:szCs w:val="20"/>
              </w:rPr>
              <w:t>придбання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паливно-мастильних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матеріалів</w:t>
            </w:r>
            <w:proofErr w:type="spellEnd"/>
            <w:r w:rsidR="00F4392E">
              <w:rPr>
                <w:sz w:val="20"/>
                <w:szCs w:val="20"/>
              </w:rPr>
              <w:t xml:space="preserve">, </w:t>
            </w:r>
            <w:proofErr w:type="spellStart"/>
            <w:r w:rsidR="00F4392E">
              <w:rPr>
                <w:sz w:val="20"/>
                <w:szCs w:val="20"/>
              </w:rPr>
              <w:t>запасних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частин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і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комплектуючих</w:t>
            </w:r>
            <w:proofErr w:type="spellEnd"/>
            <w:r w:rsidR="00F4392E">
              <w:rPr>
                <w:sz w:val="20"/>
                <w:szCs w:val="20"/>
              </w:rPr>
              <w:t xml:space="preserve"> до </w:t>
            </w:r>
            <w:proofErr w:type="spellStart"/>
            <w:r w:rsidR="00F4392E">
              <w:rPr>
                <w:sz w:val="20"/>
                <w:szCs w:val="20"/>
              </w:rPr>
              <w:t>транспортних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засобів</w:t>
            </w:r>
            <w:proofErr w:type="spellEnd"/>
            <w:r w:rsidR="00C36F32">
              <w:rPr>
                <w:sz w:val="20"/>
                <w:szCs w:val="20"/>
                <w:lang w:val="uk-UA"/>
              </w:rPr>
              <w:t>),</w:t>
            </w:r>
            <w:r w:rsidR="00F4392E">
              <w:rPr>
                <w:sz w:val="20"/>
                <w:szCs w:val="20"/>
              </w:rPr>
              <w:t xml:space="preserve">  </w:t>
            </w:r>
            <w:proofErr w:type="spellStart"/>
            <w:r w:rsidR="00F4392E">
              <w:rPr>
                <w:sz w:val="20"/>
                <w:szCs w:val="20"/>
              </w:rPr>
              <w:t>сучасними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засобами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інформатизації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і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зв’язку</w:t>
            </w:r>
            <w:proofErr w:type="spellEnd"/>
            <w:r w:rsidR="00F4392E">
              <w:rPr>
                <w:sz w:val="20"/>
                <w:szCs w:val="20"/>
              </w:rPr>
              <w:t xml:space="preserve"> (</w:t>
            </w:r>
            <w:proofErr w:type="spellStart"/>
            <w:r w:rsidR="00F4392E">
              <w:rPr>
                <w:sz w:val="20"/>
                <w:szCs w:val="20"/>
              </w:rPr>
              <w:t>програмним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забезпеченням</w:t>
            </w:r>
            <w:proofErr w:type="spellEnd"/>
            <w:r w:rsidR="00F4392E">
              <w:rPr>
                <w:sz w:val="20"/>
                <w:szCs w:val="20"/>
              </w:rPr>
              <w:t xml:space="preserve">, </w:t>
            </w:r>
            <w:proofErr w:type="spellStart"/>
            <w:r w:rsidR="00F4392E">
              <w:rPr>
                <w:sz w:val="20"/>
                <w:szCs w:val="20"/>
              </w:rPr>
              <w:t>фотоапаратом</w:t>
            </w:r>
            <w:proofErr w:type="spellEnd"/>
            <w:r w:rsidR="00F4392E">
              <w:rPr>
                <w:sz w:val="20"/>
                <w:szCs w:val="20"/>
              </w:rPr>
              <w:t xml:space="preserve">, </w:t>
            </w:r>
            <w:proofErr w:type="spellStart"/>
            <w:r w:rsidR="00F4392E">
              <w:rPr>
                <w:sz w:val="20"/>
                <w:szCs w:val="20"/>
              </w:rPr>
              <w:t>комп’ютерною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технікою</w:t>
            </w:r>
            <w:proofErr w:type="spellEnd"/>
            <w:r w:rsidR="00F4392E">
              <w:rPr>
                <w:sz w:val="20"/>
                <w:szCs w:val="20"/>
              </w:rPr>
              <w:t xml:space="preserve">, принтерами, </w:t>
            </w:r>
            <w:proofErr w:type="spellStart"/>
            <w:r w:rsidR="00F4392E">
              <w:rPr>
                <w:sz w:val="20"/>
                <w:szCs w:val="20"/>
              </w:rPr>
              <w:t>витратними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матеріалами</w:t>
            </w:r>
            <w:proofErr w:type="spellEnd"/>
            <w:r w:rsidR="00F4392E">
              <w:rPr>
                <w:sz w:val="20"/>
                <w:szCs w:val="20"/>
              </w:rPr>
              <w:t xml:space="preserve"> </w:t>
            </w:r>
            <w:proofErr w:type="spellStart"/>
            <w:r w:rsidR="00F4392E">
              <w:rPr>
                <w:sz w:val="20"/>
                <w:szCs w:val="20"/>
              </w:rPr>
              <w:t>тощо</w:t>
            </w:r>
            <w:proofErr w:type="spellEnd"/>
            <w:r w:rsidR="00F4392E">
              <w:rPr>
                <w:sz w:val="20"/>
                <w:szCs w:val="20"/>
              </w:rPr>
              <w:t xml:space="preserve">) </w:t>
            </w:r>
            <w:r w:rsidR="00C36F32">
              <w:rPr>
                <w:sz w:val="20"/>
                <w:szCs w:val="20"/>
                <w:lang w:val="uk-UA"/>
              </w:rPr>
              <w:t>, матеріальна підтримка працівників</w:t>
            </w:r>
          </w:p>
          <w:p w:rsidR="002F105D" w:rsidRDefault="002F105D" w:rsidP="00F439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роки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F105D" w:rsidRDefault="00F439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2130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130,0</w:t>
            </w:r>
          </w:p>
        </w:tc>
        <w:tc>
          <w:tcPr>
            <w:tcW w:w="709" w:type="dxa"/>
          </w:tcPr>
          <w:p w:rsidR="002F105D" w:rsidRDefault="00F4392E" w:rsidP="00E418B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418BD">
              <w:rPr>
                <w:sz w:val="20"/>
                <w:szCs w:val="20"/>
                <w:lang w:val="uk-UA"/>
              </w:rPr>
              <w:t>318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5" w:type="dxa"/>
          </w:tcPr>
          <w:p w:rsidR="002F105D" w:rsidRDefault="00F4392E" w:rsidP="00E418BD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418BD">
              <w:rPr>
                <w:sz w:val="20"/>
                <w:szCs w:val="20"/>
                <w:lang w:val="uk-UA"/>
              </w:rPr>
              <w:t>618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204" w:type="dxa"/>
            <w:gridSpan w:val="2"/>
          </w:tcPr>
          <w:p w:rsidR="00F4392E" w:rsidRPr="00F4392E" w:rsidRDefault="00C36F32" w:rsidP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можливості виконувати ефективно та належним чином функції, покладені на місцеві державні адміністрації, о</w:t>
            </w:r>
            <w:r w:rsidR="00F4392E" w:rsidRPr="00F4392E">
              <w:rPr>
                <w:sz w:val="20"/>
                <w:szCs w:val="20"/>
                <w:lang w:val="uk-UA"/>
              </w:rPr>
              <w:t xml:space="preserve">новлення парку комп’ютерної техніки, що активізує участь громадськості, органів місцевого самоврядування, працівників бюджетних установ у формуванні думки громадськості щодо вирішення завдань соціально-економічного та культурного розвитку регіонів </w:t>
            </w:r>
          </w:p>
          <w:p w:rsidR="002F105D" w:rsidRPr="00F4392E" w:rsidRDefault="002F105D" w:rsidP="002F105D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2F105D" w:rsidTr="002F105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2092" w:type="dxa"/>
          </w:tcPr>
          <w:p w:rsidR="00F4392E" w:rsidRPr="00F4392E" w:rsidRDefault="00F4392E" w:rsidP="00F4392E">
            <w:pPr>
              <w:pStyle w:val="Default"/>
              <w:rPr>
                <w:sz w:val="20"/>
                <w:szCs w:val="20"/>
                <w:lang w:val="uk-UA"/>
              </w:rPr>
            </w:pPr>
            <w:r w:rsidRPr="00F4392E">
              <w:rPr>
                <w:sz w:val="20"/>
                <w:szCs w:val="20"/>
                <w:lang w:val="uk-UA"/>
              </w:rPr>
              <w:lastRenderedPageBreak/>
              <w:t xml:space="preserve">Здійснення розрахунково-касового обслуговування клієнта шляхом дистанційного розрахункового обслуговування з використанням програмно-технічного комплексу </w:t>
            </w:r>
            <w:proofErr w:type="spellStart"/>
            <w:r w:rsidRPr="00F4392E">
              <w:rPr>
                <w:sz w:val="20"/>
                <w:szCs w:val="20"/>
                <w:lang w:val="uk-UA"/>
              </w:rPr>
              <w:t>„Клієнт</w:t>
            </w:r>
            <w:proofErr w:type="spellEnd"/>
            <w:r w:rsidRPr="00F439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92E">
              <w:rPr>
                <w:sz w:val="20"/>
                <w:szCs w:val="20"/>
                <w:lang w:val="uk-UA"/>
              </w:rPr>
              <w:t>казначейства-Казначейство”</w:t>
            </w:r>
            <w:proofErr w:type="spellEnd"/>
            <w:r w:rsidRPr="00F4392E">
              <w:rPr>
                <w:sz w:val="20"/>
                <w:szCs w:val="20"/>
                <w:lang w:val="uk-UA"/>
              </w:rPr>
              <w:t xml:space="preserve">,звітності, ведення дистанційного </w:t>
            </w:r>
          </w:p>
          <w:p w:rsidR="002F105D" w:rsidRPr="00F4392E" w:rsidRDefault="00F4392E" w:rsidP="00F4392E">
            <w:pPr>
              <w:pStyle w:val="Defaul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документооббігу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носіїв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ключової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(НКІ)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2019-2021 роки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F105D" w:rsidRDefault="00F439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2130" w:type="dxa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Районний</w:t>
            </w:r>
            <w:proofErr w:type="spellEnd"/>
            <w:r>
              <w:rPr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державному бюджету на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іально-економіч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gramStart"/>
            <w:r>
              <w:rPr>
                <w:sz w:val="20"/>
                <w:szCs w:val="20"/>
              </w:rPr>
              <w:t>культурного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регіонів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709" w:type="dxa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705" w:type="dxa"/>
          </w:tcPr>
          <w:p w:rsidR="002F105D" w:rsidRDefault="00F4392E">
            <w:pPr>
              <w:pStyle w:val="Defaul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2204" w:type="dxa"/>
            <w:gridSpan w:val="2"/>
          </w:tcPr>
          <w:p w:rsidR="00F4392E" w:rsidRDefault="00F4392E" w:rsidP="00F439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Дистанційне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F105D" w:rsidRDefault="002F105D" w:rsidP="002F105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B5431" w:rsidRDefault="00AB5431">
      <w:pPr>
        <w:rPr>
          <w:lang w:val="uk-UA"/>
        </w:rPr>
      </w:pPr>
    </w:p>
    <w:p w:rsidR="00E418BD" w:rsidRDefault="00E418BD">
      <w:pPr>
        <w:rPr>
          <w:lang w:val="uk-UA"/>
        </w:rPr>
      </w:pPr>
    </w:p>
    <w:p w:rsidR="00E418BD" w:rsidRPr="00E418BD" w:rsidRDefault="00E418B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</w:t>
      </w:r>
      <w:r w:rsidRPr="00E41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Заступник голови ради                                                                                                                                           Володимир ПОЛОВКА</w:t>
      </w:r>
    </w:p>
    <w:sectPr w:rsidR="00E418BD" w:rsidRPr="00E418BD" w:rsidSect="00C12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F0E"/>
    <w:rsid w:val="002F105D"/>
    <w:rsid w:val="00314703"/>
    <w:rsid w:val="00AB5431"/>
    <w:rsid w:val="00C12F0E"/>
    <w:rsid w:val="00C36F32"/>
    <w:rsid w:val="00E418BD"/>
    <w:rsid w:val="00F4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Вагерич</dc:creator>
  <cp:keywords/>
  <dc:description/>
  <cp:lastModifiedBy>Вагерич</cp:lastModifiedBy>
  <cp:revision>4</cp:revision>
  <dcterms:created xsi:type="dcterms:W3CDTF">2019-12-05T07:19:00Z</dcterms:created>
  <dcterms:modified xsi:type="dcterms:W3CDTF">2019-12-05T08:16:00Z</dcterms:modified>
</cp:coreProperties>
</file>